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234" w:type="dxa"/>
        <w:tblLook w:val="04A0" w:firstRow="1" w:lastRow="0" w:firstColumn="1" w:lastColumn="0" w:noHBand="0" w:noVBand="1"/>
      </w:tblPr>
      <w:tblGrid>
        <w:gridCol w:w="1942"/>
        <w:gridCol w:w="837"/>
        <w:gridCol w:w="967"/>
        <w:gridCol w:w="1317"/>
        <w:gridCol w:w="1277"/>
        <w:gridCol w:w="1257"/>
        <w:gridCol w:w="1637"/>
      </w:tblGrid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bookmarkStart w:id="0" w:name="_GoBack" w:colFirst="0" w:colLast="6"/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Primer autor, Año (Ref. #)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CVD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Diabetes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Hipertensión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Tabaquismo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Enfermedad coronaria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8"/>
                <w:szCs w:val="20"/>
                <w:lang w:eastAsia="es-CO"/>
              </w:rPr>
              <w:t>Enfermedad Cerebrovascular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Guan et al. 2020 ( 29 ) (N = 1,099)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81 (7.3)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165 (15.0)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158 (14.4)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27 (2.5)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15 (1.4)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Zhou et al. 2020 ( 6 ) (N = 191)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36 (18.8)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58 (30.4)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11 (5.8)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15 (7.9)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Wang et al. 2020 ( 20 ) (N = 138)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20 (14.5)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14 (10.1)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43 (31.2)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7 (5.1)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Huang et al. 2020 ( 1 ) (N = 41)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6 (14.6)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8 (19.5)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6 (14.6)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3 (7.3)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Ruan et al. 2020 ( 22 ) (N = 150)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13 (8.7)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25 (16.7)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52 (34.7)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12 (8.0)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Wu et al. 2020 ( 28 ) (N = 201)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8 (4.0)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22 (10.9)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39 (19.4)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Wu et al. 2020 ( 16 ) </w:t>
            </w:r>
            <w:hyperlink r:id="rId4" w:history="1">
              <w:r w:rsidRPr="00CB7C09">
                <w:rPr>
                  <w:rStyle w:val="Hipervnculo"/>
                  <w:rFonts w:ascii="Cambria Math" w:eastAsia="Times New Roman" w:hAnsi="Cambria Math" w:cs="Cambria Math"/>
                  <w:color w:val="000000" w:themeColor="text1"/>
                  <w:sz w:val="18"/>
                  <w:szCs w:val="20"/>
                  <w:vertAlign w:val="superscript"/>
                  <w:lang w:eastAsia="es-CO"/>
                </w:rPr>
                <w:t>∗</w:t>
              </w:r>
              <w:r w:rsidRPr="00CB7C09">
                <w:rPr>
                  <w:rStyle w:val="Hipervnculo"/>
                  <w:rFonts w:ascii="Arial" w:eastAsia="Times New Roman" w:hAnsi="Arial" w:cs="Arial"/>
                  <w:color w:val="000000" w:themeColor="text1"/>
                  <w:sz w:val="18"/>
                  <w:szCs w:val="20"/>
                  <w:vertAlign w:val="superscript"/>
                  <w:lang w:eastAsia="es-CO"/>
                </w:rPr>
                <w:t> </w:t>
              </w:r>
            </w:hyperlink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(N = 44,672)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4,690 (10.5) </w:t>
            </w:r>
            <w:hyperlink r:id="rId5" w:history="1">
              <w:r w:rsidRPr="00CB7C09">
                <w:rPr>
                  <w:rStyle w:val="Hipervnculo"/>
                  <w:rFonts w:ascii="Arial" w:eastAsia="Times New Roman" w:hAnsi="Arial" w:cs="Arial"/>
                  <w:color w:val="000000" w:themeColor="text1"/>
                  <w:sz w:val="18"/>
                  <w:szCs w:val="20"/>
                  <w:lang w:eastAsia="es-CO"/>
                </w:rPr>
                <w:t>†</w:t>
              </w:r>
            </w:hyperlink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3,261 (7.3)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2,903 (6.5)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Fang et al. 2020 ( 100 ) </w:t>
            </w:r>
            <w:hyperlink r:id="rId6" w:history="1">
              <w:r w:rsidRPr="00CB7C09">
                <w:rPr>
                  <w:rStyle w:val="Hipervnculo"/>
                  <w:rFonts w:ascii="Cambria Math" w:eastAsia="Times New Roman" w:hAnsi="Cambria Math" w:cs="Cambria Math"/>
                  <w:color w:val="000000" w:themeColor="text1"/>
                  <w:sz w:val="18"/>
                  <w:szCs w:val="20"/>
                  <w:vertAlign w:val="superscript"/>
                  <w:lang w:eastAsia="es-CO"/>
                </w:rPr>
                <w:t>∗</w:t>
              </w:r>
              <w:r w:rsidRPr="00CB7C09">
                <w:rPr>
                  <w:rStyle w:val="Hipervnculo"/>
                  <w:rFonts w:ascii="Arial" w:eastAsia="Times New Roman" w:hAnsi="Arial" w:cs="Arial"/>
                  <w:color w:val="000000" w:themeColor="text1"/>
                  <w:sz w:val="18"/>
                  <w:szCs w:val="20"/>
                  <w:vertAlign w:val="superscript"/>
                  <w:lang w:eastAsia="es-CO"/>
                </w:rPr>
                <w:t> </w:t>
              </w:r>
            </w:hyperlink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(N = 2,818)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233 (8.3) </w:t>
            </w:r>
            <w:hyperlink r:id="rId7" w:history="1">
              <w:r w:rsidRPr="00CB7C09">
                <w:rPr>
                  <w:rStyle w:val="Hipervnculo"/>
                  <w:rFonts w:ascii="Arial" w:eastAsia="Times New Roman" w:hAnsi="Arial" w:cs="Arial"/>
                  <w:color w:val="000000" w:themeColor="text1"/>
                  <w:sz w:val="18"/>
                  <w:szCs w:val="20"/>
                  <w:lang w:eastAsia="es-CO"/>
                </w:rPr>
                <w:t>†</w:t>
              </w:r>
            </w:hyperlink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206 (7.3)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376 (13.3)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</w:tr>
      <w:tr w:rsidR="00CC331F" w:rsidRPr="00CB7C09" w:rsidTr="00CC331F"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Lu et al. 2018 ( 101 ) </w:t>
            </w:r>
            <w:hyperlink r:id="rId8" w:history="1">
              <w:r w:rsidRPr="00CB7C09">
                <w:rPr>
                  <w:rStyle w:val="Hipervnculo"/>
                  <w:rFonts w:ascii="Arial" w:eastAsia="Times New Roman" w:hAnsi="Arial" w:cs="Arial"/>
                  <w:color w:val="000000" w:themeColor="text1"/>
                  <w:sz w:val="18"/>
                  <w:szCs w:val="20"/>
                  <w:lang w:eastAsia="es-CO"/>
                </w:rPr>
                <w:t>§ </w:t>
              </w:r>
            </w:hyperlink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(N = 12,654)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1,455 (11.5)</w:t>
            </w:r>
          </w:p>
        </w:tc>
        <w:tc>
          <w:tcPr>
            <w:tcW w:w="96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2,125 (16.8)</w:t>
            </w:r>
          </w:p>
        </w:tc>
        <w:tc>
          <w:tcPr>
            <w:tcW w:w="131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4,884 (38.6)</w:t>
            </w:r>
          </w:p>
        </w:tc>
        <w:tc>
          <w:tcPr>
            <w:tcW w:w="127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4,985 (39.4)</w:t>
            </w:r>
          </w:p>
        </w:tc>
        <w:tc>
          <w:tcPr>
            <w:tcW w:w="0" w:type="auto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—</w:t>
            </w:r>
          </w:p>
        </w:tc>
        <w:tc>
          <w:tcPr>
            <w:tcW w:w="1637" w:type="dxa"/>
            <w:hideMark/>
          </w:tcPr>
          <w:p w:rsidR="00CC331F" w:rsidRPr="00CB7C09" w:rsidRDefault="00CC331F" w:rsidP="00CC331F">
            <w:pPr>
              <w:spacing w:line="48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CB7C0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278 (2.2)</w:t>
            </w:r>
          </w:p>
        </w:tc>
      </w:tr>
    </w:tbl>
    <w:bookmarkEnd w:id="0"/>
    <w:p w:rsidR="00CC331F" w:rsidRDefault="00CC331F" w:rsidP="00CC331F">
      <w:pPr>
        <w:jc w:val="both"/>
        <w:rPr>
          <w:rFonts w:ascii="Arial" w:hAnsi="Arial" w:cs="Arial"/>
          <w:b/>
          <w:i/>
          <w:iCs/>
          <w:sz w:val="27"/>
          <w:szCs w:val="27"/>
        </w:rPr>
      </w:pPr>
      <w:r>
        <w:rPr>
          <w:rFonts w:ascii="Arial" w:hAnsi="Arial" w:cs="Arial"/>
          <w:b/>
          <w:i/>
          <w:iCs/>
          <w:sz w:val="14"/>
          <w:szCs w:val="27"/>
        </w:rPr>
        <w:t>Tabla 1</w:t>
      </w:r>
      <w:r w:rsidRPr="00CB7C09">
        <w:rPr>
          <w:rFonts w:ascii="Arial" w:hAnsi="Arial" w:cs="Arial"/>
          <w:b/>
          <w:i/>
          <w:iCs/>
          <w:sz w:val="14"/>
          <w:szCs w:val="27"/>
        </w:rPr>
        <w:t>. Perfil de comorbilidades en pacientes ingresados a centros hospitalarios con COVID 19 en diferentes poblaciones</w:t>
      </w:r>
      <w:r w:rsidRPr="009108BA">
        <w:rPr>
          <w:rFonts w:ascii="Arial" w:hAnsi="Arial" w:cs="Arial"/>
          <w:b/>
          <w:i/>
          <w:iCs/>
          <w:sz w:val="27"/>
          <w:szCs w:val="27"/>
        </w:rPr>
        <w:t>.</w:t>
      </w:r>
    </w:p>
    <w:p w:rsidR="0061384E" w:rsidRDefault="0061384E"/>
    <w:sectPr w:rsidR="0061384E" w:rsidSect="00744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1F"/>
    <w:rsid w:val="0061384E"/>
    <w:rsid w:val="007442A7"/>
    <w:rsid w:val="00955F83"/>
    <w:rsid w:val="00C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0C053C"/>
  <w14:defaultImageDpi w14:val="32767"/>
  <w15:chartTrackingRefBased/>
  <w15:docId w15:val="{8A5DAA3D-ECCC-2642-8216-421C803A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331F"/>
    <w:pPr>
      <w:spacing w:after="160" w:line="25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31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331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clinicalkey-es.ezproxy.umng.edu.co/tbl1fnse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-clinicalkey-es.ezproxy.umng.edu.co/tbl1fndagg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-clinicalkey-es.ezproxy.umng.edu.co/tbl1fnlowast" TargetMode="External"/><Relationship Id="rId5" Type="http://schemas.openxmlformats.org/officeDocument/2006/relationships/hyperlink" Target="https://www-clinicalkey-es.ezproxy.umng.edu.co/tbl1fndagge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-clinicalkey-es.ezproxy.umng.edu.co/tbl1fnlowas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2020-06-17T01:23:00Z</dcterms:created>
  <dcterms:modified xsi:type="dcterms:W3CDTF">2020-06-17T01:26:00Z</dcterms:modified>
</cp:coreProperties>
</file>